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41CE0" w14:textId="0962391F" w:rsidR="008204DF" w:rsidRPr="00591C72" w:rsidRDefault="00591C72" w:rsidP="00591C72">
      <w:pPr>
        <w:spacing w:after="60"/>
        <w:jc w:val="right"/>
        <w:rPr>
          <w:b/>
          <w:color w:val="7A1F2B"/>
          <w:sz w:val="19"/>
          <w:lang w:val="es-ES"/>
        </w:rPr>
      </w:pPr>
      <w:r w:rsidRPr="005F5C10">
        <w:rPr>
          <w:b/>
          <w:bCs/>
          <w:noProof/>
          <w:color w:val="auto"/>
          <w:lang w:val="es-ES"/>
        </w:rPr>
        <w:drawing>
          <wp:anchor distT="0" distB="0" distL="114300" distR="114300" simplePos="0" relativeHeight="251658240" behindDoc="1" locked="0" layoutInCell="1" allowOverlap="1" wp14:anchorId="4F21E0C7" wp14:editId="3AF259C0">
            <wp:simplePos x="0" y="0"/>
            <wp:positionH relativeFrom="margin">
              <wp:posOffset>1661160</wp:posOffset>
            </wp:positionH>
            <wp:positionV relativeFrom="paragraph">
              <wp:posOffset>-687705</wp:posOffset>
            </wp:positionV>
            <wp:extent cx="2644140" cy="687203"/>
            <wp:effectExtent l="0" t="0" r="3810" b="0"/>
            <wp:wrapNone/>
            <wp:docPr id="145391306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68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8EADD4" w14:textId="403D314E" w:rsidR="00591C72" w:rsidRPr="00591C72" w:rsidRDefault="00591C72" w:rsidP="00591C72">
      <w:pPr>
        <w:spacing w:after="160"/>
        <w:jc w:val="center"/>
        <w:rPr>
          <w:rFonts w:ascii="Arial" w:hAnsi="Arial" w:cs="Arial"/>
          <w:b/>
          <w:bCs/>
          <w:sz w:val="20"/>
          <w:szCs w:val="20"/>
          <w:u w:val="single"/>
          <w:lang w:val="es-ES"/>
        </w:rPr>
      </w:pPr>
      <w:r w:rsidRPr="00591C72">
        <w:rPr>
          <w:rFonts w:ascii="Arial" w:hAnsi="Arial" w:cs="Arial"/>
          <w:b/>
          <w:bCs/>
          <w:sz w:val="20"/>
          <w:szCs w:val="20"/>
          <w:u w:val="single"/>
          <w:lang w:val="es-ES"/>
        </w:rPr>
        <w:t>Nota de Prensa</w:t>
      </w:r>
    </w:p>
    <w:p w14:paraId="654DF0BE" w14:textId="1E39D435" w:rsidR="00591C72" w:rsidRPr="00A92BB3" w:rsidRDefault="00591C72" w:rsidP="00591C72">
      <w:pPr>
        <w:spacing w:after="160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A92BB3">
        <w:rPr>
          <w:rFonts w:ascii="Arial" w:hAnsi="Arial" w:cs="Arial"/>
          <w:b/>
          <w:bCs/>
          <w:sz w:val="20"/>
          <w:szCs w:val="20"/>
          <w:lang w:val="es-ES"/>
        </w:rPr>
        <w:t>Miguel Ángel Cabra de Luna advierte de que priorizar el desarrollo económico sin inversión social acabará pasando factura a Europa</w:t>
      </w:r>
    </w:p>
    <w:p w14:paraId="7A199A63" w14:textId="77777777" w:rsidR="00591C72" w:rsidRPr="00A92BB3" w:rsidRDefault="00591C72" w:rsidP="00591C72">
      <w:pPr>
        <w:numPr>
          <w:ilvl w:val="0"/>
          <w:numId w:val="14"/>
        </w:num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b/>
          <w:bCs/>
          <w:sz w:val="20"/>
          <w:szCs w:val="20"/>
          <w:lang w:val="es-ES"/>
        </w:rPr>
        <w:t>El exmiembro del Comité Económico y Social Europeo alerta del riesgo de que la defensa y la reindustrialización desplacen los fondos destinados al empleo, la inclusión y la cohesión social.</w:t>
      </w:r>
    </w:p>
    <w:p w14:paraId="4344C159" w14:textId="77777777" w:rsidR="00591C72" w:rsidRPr="00A92BB3" w:rsidRDefault="00591C72" w:rsidP="00591C72">
      <w:pPr>
        <w:numPr>
          <w:ilvl w:val="0"/>
          <w:numId w:val="14"/>
        </w:num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b/>
          <w:bCs/>
          <w:sz w:val="20"/>
          <w:szCs w:val="20"/>
          <w:lang w:val="es-ES"/>
        </w:rPr>
        <w:t>Reivindica que el tercer sector participe en la planificación, dirección y evaluación de los programas europeos y no quede reducido a un mero ejecutor de proyectos.</w:t>
      </w:r>
    </w:p>
    <w:p w14:paraId="3FBA5710" w14:textId="6F99BC39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 xml:space="preserve">El desarrollo económico de la Unión Europea no garantiza por sí solo el progreso social y puede agravar las desigualdades si no va acompañado de políticas públicas de cohesión suficientemente financiadas. Esta es una de las principales advertencias de </w:t>
      </w:r>
      <w:r w:rsidRPr="00A92BB3">
        <w:rPr>
          <w:rFonts w:ascii="Arial" w:hAnsi="Arial" w:cs="Arial"/>
          <w:b/>
          <w:bCs/>
          <w:sz w:val="20"/>
          <w:szCs w:val="20"/>
          <w:lang w:val="es-ES"/>
        </w:rPr>
        <w:t>Miguel Ángel Cabra de Luna</w:t>
      </w:r>
      <w:r w:rsidRPr="00A92BB3">
        <w:rPr>
          <w:rFonts w:ascii="Arial" w:hAnsi="Arial" w:cs="Arial"/>
          <w:sz w:val="20"/>
          <w:szCs w:val="20"/>
          <w:lang w:val="es-ES"/>
        </w:rPr>
        <w:t>, exmiembro del Comité Económico y Social Europeo (CESE), director de Movimientos Sociales y Alianzas del Grupo Social ONCE y secretario general de la Plataforma de Mayores y Pensionistas, en una nueva entrega de «El Sillón de la Europa Social», difundida este viernes por el Comité Español de Representantes de Personas con Discapacidad (CERMI).</w:t>
      </w:r>
    </w:p>
    <w:p w14:paraId="6AAAD195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«Con el mero desarrollo económico no se avanza socialmente y al final lo acabaremos pagando», advierte Cabra de Luna, quien reclama que el próximo Marco Financiero Plurianual de la Unión Europea para 2028-2034 preserve recursos para las políticas de empleo, inclusión y cohesión, ante el creciente peso de otras prioridades estratégicas.</w:t>
      </w:r>
    </w:p>
    <w:p w14:paraId="363739FD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Durante la conversación, el experto repasa los avances alcanzados por las personas con discapacidad a lo largo de cuatro décadas de integración europea, el papel decisivo de la sociedad civil organizada y los riesgos de una reorientación presupuestaria que debilite el modelo social comunitario. Su reflexión parte de una trayectoria de 27 años en el CESE, vinculada a la discapacidad, la economía social y la participación ciudadana.</w:t>
      </w:r>
    </w:p>
    <w:p w14:paraId="7FB87839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Cabra de Luna recuerda que, cuando España ingresó en las Comunidades Europeas en 1986, la discapacidad apenas tenía presencia en la agenda comunitaria. La movilización asociativa contribuyó a introducir esta realidad en las políticas europeas, hasta alcanzar un avance decisivo con la incorporación de la no discriminación por motivos de discapacidad al artículo 13 del Tratado de Ámsterdam.</w:t>
      </w:r>
    </w:p>
    <w:p w14:paraId="62E91053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«Si no hay competencia, no se puede actuar», explica, para subrayar la importancia de contar con una base jurídica que permitiera desarrollar iniciativas específicas. Aquel reconocimiento abrió el camino a sucesivos planes de acción, la Declaración de Madrid de 2002 y las estrategias europeas sobre discapacidad, consolidando un enfoque basado en los derechos humanos.</w:t>
      </w:r>
    </w:p>
    <w:p w14:paraId="22243677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«Sin esfuerzo no hay ganancia», resume Cabra de Luna, quien atribuye estos avances a la perseverancia de las organizaciones representativas. «La sociedad civil organizada tiene que ser la gota malaya que acaba horadando la piedra», afirma, reivindicando una presencia constante ante las instituciones europeas.</w:t>
      </w:r>
    </w:p>
    <w:p w14:paraId="624A45CD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Otro de los ejes de la entrevista es la defensa del tercer sector como agente imprescindible en el diseño y desarrollo de las políticas comunitarias. Cabra de Luna destaca el modelo español de colaboración entre administraciones y entidades sociales, cuya experiencia permite identificar necesidades, diseñar respuestas y evaluar resultados.</w:t>
      </w:r>
    </w:p>
    <w:p w14:paraId="5664A9C1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«El tercer sector lo que ha hecho ha sido poner alma, vida y corazón para trabajar», sostiene, al destacar su contribución a la inclusión laboral y social de las personas con discapacidad y otros grupos en situación de vulnerabilidad.</w:t>
      </w:r>
    </w:p>
    <w:p w14:paraId="6ED13A9C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lastRenderedPageBreak/>
        <w:t>El entrevistado recuerda que la inversión social también genera beneficios económicos. La incorporación de personas con discapacidad al mercado laboral supone actividad productiva, cotizaciones e ingresos fiscales, además de contribuir a reducir situaciones de exclusión.</w:t>
      </w:r>
    </w:p>
    <w:p w14:paraId="6BC26948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Por ello, rechaza que las organizaciones sociales sean consideradas simples entidades subcontratadas para ejecutar programas previamente definidos. «La diferencia es clara: ser actor o ser mero ejecutor. Es mucho mejor ser actor», señala. A su juicio, esta participación debe garantizarse durante todo el ciclo de los fondos europeos, desde su planificación y dirección hasta el seguimiento y la evaluación, tanto en el ámbito comunitario como en los niveles estatal y autonómico.</w:t>
      </w:r>
    </w:p>
    <w:p w14:paraId="1C4DDDAE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Ante la negociación del próximo presupuesto europeo, Cabra de Luna reconoce que la Unión debe responder a desafíos como la defensa, la reindustrialización, la transición energética o la inteligencia artificial. Sin embargo, advierte de que estas necesidades no pueden atenderse a costa de debilitar los instrumentos que sostienen el modelo social europeo.</w:t>
      </w:r>
    </w:p>
    <w:p w14:paraId="723E0CB0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«Lo que no podemos hacer es coger todos los fondos de cohesión y dedicarlos solo a la reindustrialización y a la defensa», afirma.</w:t>
      </w:r>
    </w:p>
    <w:p w14:paraId="5179A9C8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Su preocupación se centra en que la flexibilidad presupuestaria termine desplazando las inversiones destinadas a quienes afrontan mayores dificultades de acceso al empleo, la formación o una vida independiente. Frente a este escenario, defiende que las políticas sociales mantengan financiación suficiente, instrumentos propios y mecanismos de gobernanza que garanticen la participación de las organizaciones sociales.</w:t>
      </w:r>
    </w:p>
    <w:p w14:paraId="43734296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Cabra de Luna insiste en que la fortaleza económica de Europa y la protección de su modelo social no son objetivos contrapuestos, sino dimensiones inseparables de un mismo proyecto. Preservar la cohesión resulta esencial para que el crecimiento se traduzca en oportunidades reales y en una ciudadanía más igualitaria.</w:t>
      </w:r>
    </w:p>
    <w:p w14:paraId="37CE41AB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 xml:space="preserve">La entrevista forma parte del proyecto </w:t>
      </w:r>
      <w:r w:rsidRPr="00A92BB3">
        <w:rPr>
          <w:rFonts w:ascii="Arial" w:hAnsi="Arial" w:cs="Arial"/>
          <w:b/>
          <w:bCs/>
          <w:sz w:val="20"/>
          <w:szCs w:val="20"/>
          <w:lang w:val="es-ES"/>
        </w:rPr>
        <w:t>«40 años de España en la Unión Europea construyendo la Europa social: defensa del Pilar Social Europeo ante el nuevo Marco Financiero Plurianual»</w:t>
      </w:r>
      <w:r w:rsidRPr="00A92BB3">
        <w:rPr>
          <w:rFonts w:ascii="Arial" w:hAnsi="Arial" w:cs="Arial"/>
          <w:sz w:val="20"/>
          <w:szCs w:val="20"/>
          <w:lang w:val="es-ES"/>
        </w:rPr>
        <w:t xml:space="preserve">, impulsado por el CERMI con el apoyo del Ministerio de Asuntos Exteriores, Unión Europea y Cooperación, a través de la iniciativa </w:t>
      </w:r>
      <w:r w:rsidRPr="00A92BB3">
        <w:rPr>
          <w:rFonts w:ascii="Arial" w:hAnsi="Arial" w:cs="Arial"/>
          <w:i/>
          <w:iCs/>
          <w:sz w:val="20"/>
          <w:szCs w:val="20"/>
          <w:lang w:val="es-ES"/>
        </w:rPr>
        <w:t>Hablamos de Europa</w:t>
      </w:r>
      <w:r w:rsidRPr="00A92BB3">
        <w:rPr>
          <w:rFonts w:ascii="Arial" w:hAnsi="Arial" w:cs="Arial"/>
          <w:sz w:val="20"/>
          <w:szCs w:val="20"/>
          <w:lang w:val="es-ES"/>
        </w:rPr>
        <w:t>.</w:t>
      </w:r>
    </w:p>
    <w:p w14:paraId="4493E717" w14:textId="77777777" w:rsidR="00591C72" w:rsidRPr="00A92BB3" w:rsidRDefault="00591C72" w:rsidP="00591C72">
      <w:pPr>
        <w:spacing w:after="160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b/>
          <w:bCs/>
          <w:sz w:val="20"/>
          <w:szCs w:val="20"/>
          <w:lang w:val="es-ES"/>
        </w:rPr>
        <w:t xml:space="preserve">Acceso a la </w:t>
      </w:r>
      <w:proofErr w:type="spellStart"/>
      <w:r w:rsidRPr="00A92BB3">
        <w:rPr>
          <w:rFonts w:ascii="Arial" w:hAnsi="Arial" w:cs="Arial"/>
          <w:b/>
          <w:bCs/>
          <w:sz w:val="20"/>
          <w:szCs w:val="20"/>
          <w:lang w:val="es-ES"/>
        </w:rPr>
        <w:t>videoentrevista</w:t>
      </w:r>
      <w:proofErr w:type="spellEnd"/>
      <w:r w:rsidRPr="00A92BB3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Pr="00A92BB3">
        <w:rPr>
          <w:rFonts w:ascii="Arial" w:hAnsi="Arial" w:cs="Arial"/>
          <w:sz w:val="20"/>
          <w:szCs w:val="20"/>
          <w:lang w:val="es-ES"/>
        </w:rPr>
        <w:br/>
      </w:r>
      <w:hyperlink r:id="rId9" w:history="1">
        <w:r w:rsidRPr="00A92BB3">
          <w:rPr>
            <w:rStyle w:val="Hipervnculo"/>
            <w:rFonts w:ascii="Arial" w:hAnsi="Arial" w:cs="Arial"/>
            <w:sz w:val="20"/>
            <w:szCs w:val="20"/>
            <w:lang w:val="es-ES"/>
          </w:rPr>
          <w:t>https://www.youtube.com/watch?v=1yRsdH5SZZ4</w:t>
        </w:r>
      </w:hyperlink>
    </w:p>
    <w:p w14:paraId="791538FD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b/>
          <w:bCs/>
          <w:sz w:val="20"/>
          <w:szCs w:val="20"/>
          <w:lang w:val="es-ES"/>
        </w:rPr>
        <w:t>16 de octubre de 2026</w:t>
      </w:r>
    </w:p>
    <w:p w14:paraId="3E3847BC" w14:textId="77777777" w:rsidR="00591C72" w:rsidRPr="00A92BB3" w:rsidRDefault="00591C72" w:rsidP="00591C72">
      <w:pPr>
        <w:spacing w:after="160"/>
        <w:jc w:val="both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b/>
          <w:bCs/>
          <w:sz w:val="20"/>
          <w:szCs w:val="20"/>
          <w:lang w:val="es-ES"/>
        </w:rPr>
        <w:t>#HablamosDeEuropa #PilarSocialEuropeo #40AñosEuropaInclusión</w:t>
      </w:r>
    </w:p>
    <w:p w14:paraId="1024BAA9" w14:textId="77777777" w:rsidR="00591C72" w:rsidRPr="00A92BB3" w:rsidRDefault="00591C72" w:rsidP="00591C72">
      <w:pPr>
        <w:spacing w:after="160"/>
        <w:jc w:val="center"/>
        <w:rPr>
          <w:rFonts w:ascii="Arial" w:hAnsi="Arial" w:cs="Arial"/>
          <w:sz w:val="20"/>
          <w:szCs w:val="20"/>
          <w:lang w:val="es-ES"/>
        </w:rPr>
      </w:pPr>
      <w:r w:rsidRPr="00A92BB3">
        <w:rPr>
          <w:rFonts w:ascii="Arial" w:hAnsi="Arial" w:cs="Arial"/>
          <w:sz w:val="20"/>
          <w:szCs w:val="20"/>
          <w:lang w:val="es-ES"/>
        </w:rPr>
        <w:t>CERMI</w:t>
      </w:r>
      <w:r w:rsidRPr="00A92BB3">
        <w:rPr>
          <w:rFonts w:ascii="Arial" w:hAnsi="Arial" w:cs="Arial"/>
          <w:sz w:val="20"/>
          <w:szCs w:val="20"/>
          <w:lang w:val="es-ES"/>
        </w:rPr>
        <w:br/>
      </w:r>
      <w:hyperlink r:id="rId10" w:history="1">
        <w:r w:rsidRPr="00A92BB3">
          <w:rPr>
            <w:rStyle w:val="Hipervnculo"/>
            <w:rFonts w:ascii="Arial" w:hAnsi="Arial" w:cs="Arial"/>
            <w:sz w:val="20"/>
            <w:szCs w:val="20"/>
            <w:lang w:val="es-ES"/>
          </w:rPr>
          <w:t>www.cermi.es</w:t>
        </w:r>
      </w:hyperlink>
    </w:p>
    <w:p w14:paraId="6C19A42F" w14:textId="77777777" w:rsidR="00591C72" w:rsidRPr="00A92BB3" w:rsidRDefault="00591C72" w:rsidP="00591C72">
      <w:pPr>
        <w:jc w:val="both"/>
        <w:rPr>
          <w:rFonts w:ascii="Arial" w:hAnsi="Arial" w:cs="Arial"/>
          <w:sz w:val="20"/>
          <w:szCs w:val="20"/>
        </w:rPr>
      </w:pPr>
    </w:p>
    <w:p w14:paraId="25464646" w14:textId="77777777" w:rsidR="00591C72" w:rsidRPr="00591C72" w:rsidRDefault="00591C72" w:rsidP="00591C72">
      <w:pPr>
        <w:jc w:val="both"/>
        <w:rPr>
          <w:rFonts w:ascii="Arial" w:hAnsi="Arial" w:cs="Arial"/>
          <w:lang w:val="es-ES"/>
        </w:rPr>
      </w:pPr>
    </w:p>
    <w:sectPr w:rsidR="00591C72" w:rsidRPr="00591C72" w:rsidSect="00D46CE0"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51680" w14:textId="77777777" w:rsidR="00FB02F0" w:rsidRDefault="00FB02F0">
      <w:pPr>
        <w:spacing w:after="0" w:line="240" w:lineRule="auto"/>
      </w:pPr>
      <w:r>
        <w:separator/>
      </w:r>
    </w:p>
  </w:endnote>
  <w:endnote w:type="continuationSeparator" w:id="0">
    <w:p w14:paraId="73305B03" w14:textId="77777777" w:rsidR="00FB02F0" w:rsidRDefault="00FB0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022F2" w14:textId="58C15F0D" w:rsidR="00AA1F9C" w:rsidRPr="00A55DCA" w:rsidRDefault="00A55DCA" w:rsidP="00A55DCA">
    <w:pPr>
      <w:pStyle w:val="Piedepgina"/>
    </w:pPr>
    <w:r w:rsidRPr="00A91C70">
      <w:rPr>
        <w:noProof/>
      </w:rPr>
      <w:drawing>
        <wp:inline distT="0" distB="0" distL="0" distR="0" wp14:anchorId="0D686718" wp14:editId="7947B05F">
          <wp:extent cx="5400040" cy="1026160"/>
          <wp:effectExtent l="0" t="0" r="0" b="2540"/>
          <wp:docPr id="530438887" name="Imagen 1" descr="Ministerio de Asuntos Exteriores, Unión Europea y Cooperación, a través de la iniciativa Hablamos de Europ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438887" name="Imagen 1" descr="Ministerio de Asuntos Exteriores, Unión Europea y Cooperación, a través de la iniciativa Hablamos de Europ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26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339CD" w14:textId="77777777" w:rsidR="00FB02F0" w:rsidRDefault="00FB02F0">
      <w:pPr>
        <w:spacing w:after="0" w:line="240" w:lineRule="auto"/>
      </w:pPr>
      <w:r>
        <w:separator/>
      </w:r>
    </w:p>
  </w:footnote>
  <w:footnote w:type="continuationSeparator" w:id="0">
    <w:p w14:paraId="12B1F752" w14:textId="77777777" w:rsidR="00FB02F0" w:rsidRDefault="00FB02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07043B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5D7149"/>
    <w:multiLevelType w:val="multilevel"/>
    <w:tmpl w:val="B4AA8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2329E5"/>
    <w:multiLevelType w:val="multilevel"/>
    <w:tmpl w:val="D740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417B21"/>
    <w:multiLevelType w:val="multilevel"/>
    <w:tmpl w:val="D3AA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EE341A"/>
    <w:multiLevelType w:val="multilevel"/>
    <w:tmpl w:val="E842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C521DD"/>
    <w:multiLevelType w:val="multilevel"/>
    <w:tmpl w:val="B2CCE3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618800971">
    <w:abstractNumId w:val="8"/>
  </w:num>
  <w:num w:numId="2" w16cid:durableId="1412310435">
    <w:abstractNumId w:val="6"/>
  </w:num>
  <w:num w:numId="3" w16cid:durableId="2068914404">
    <w:abstractNumId w:val="5"/>
  </w:num>
  <w:num w:numId="4" w16cid:durableId="219025552">
    <w:abstractNumId w:val="4"/>
  </w:num>
  <w:num w:numId="5" w16cid:durableId="1324502879">
    <w:abstractNumId w:val="7"/>
  </w:num>
  <w:num w:numId="6" w16cid:durableId="1374771826">
    <w:abstractNumId w:val="3"/>
  </w:num>
  <w:num w:numId="7" w16cid:durableId="639960591">
    <w:abstractNumId w:val="2"/>
  </w:num>
  <w:num w:numId="8" w16cid:durableId="101465475">
    <w:abstractNumId w:val="1"/>
  </w:num>
  <w:num w:numId="9" w16cid:durableId="630019662">
    <w:abstractNumId w:val="0"/>
  </w:num>
  <w:num w:numId="10" w16cid:durableId="2126582569">
    <w:abstractNumId w:val="11"/>
  </w:num>
  <w:num w:numId="11" w16cid:durableId="1966501049">
    <w:abstractNumId w:val="13"/>
  </w:num>
  <w:num w:numId="12" w16cid:durableId="796487091">
    <w:abstractNumId w:val="12"/>
  </w:num>
  <w:num w:numId="13" w16cid:durableId="2021003686">
    <w:abstractNumId w:val="9"/>
  </w:num>
  <w:num w:numId="14" w16cid:durableId="3900837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D6D"/>
    <w:rsid w:val="000A04D2"/>
    <w:rsid w:val="001172CA"/>
    <w:rsid w:val="0015074B"/>
    <w:rsid w:val="001B05BE"/>
    <w:rsid w:val="001C6364"/>
    <w:rsid w:val="001F7936"/>
    <w:rsid w:val="00206D61"/>
    <w:rsid w:val="0029639D"/>
    <w:rsid w:val="002F287E"/>
    <w:rsid w:val="00326F90"/>
    <w:rsid w:val="0045305E"/>
    <w:rsid w:val="00560066"/>
    <w:rsid w:val="00591C72"/>
    <w:rsid w:val="005D0F8D"/>
    <w:rsid w:val="005F5C10"/>
    <w:rsid w:val="006461A2"/>
    <w:rsid w:val="007B7D96"/>
    <w:rsid w:val="007F16F3"/>
    <w:rsid w:val="008204DF"/>
    <w:rsid w:val="00851C45"/>
    <w:rsid w:val="009C6123"/>
    <w:rsid w:val="00A17754"/>
    <w:rsid w:val="00A55DCA"/>
    <w:rsid w:val="00A928F7"/>
    <w:rsid w:val="00AA1D8D"/>
    <w:rsid w:val="00AA1F9C"/>
    <w:rsid w:val="00AB2778"/>
    <w:rsid w:val="00B47730"/>
    <w:rsid w:val="00C2605D"/>
    <w:rsid w:val="00C3454F"/>
    <w:rsid w:val="00C81559"/>
    <w:rsid w:val="00CB0664"/>
    <w:rsid w:val="00CF6000"/>
    <w:rsid w:val="00D46CE0"/>
    <w:rsid w:val="00D751D6"/>
    <w:rsid w:val="00E16B03"/>
    <w:rsid w:val="00F170B6"/>
    <w:rsid w:val="00F2568D"/>
    <w:rsid w:val="00F379D8"/>
    <w:rsid w:val="00F879BF"/>
    <w:rsid w:val="00FB02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76C824"/>
  <w14:defaultImageDpi w14:val="300"/>
  <w15:docId w15:val="{C5967899-3B72-4BC1-B44E-3C86E149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color w:val="00000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tradilla">
    <w:name w:val="Entradilla"/>
    <w:pPr>
      <w:keepLines/>
      <w:spacing w:after="100"/>
      <w:ind w:left="259" w:hanging="259"/>
    </w:pPr>
    <w:rPr>
      <w:rFonts w:ascii="Aptos" w:hAnsi="Aptos"/>
      <w:b/>
      <w:color w:val="000000"/>
    </w:rPr>
  </w:style>
  <w:style w:type="character" w:styleId="Hipervnculo">
    <w:name w:val="Hyperlink"/>
    <w:basedOn w:val="Fuentedeprrafopredeter"/>
    <w:uiPriority w:val="99"/>
    <w:unhideWhenUsed/>
    <w:rsid w:val="001C636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C63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F6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ermi.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1yRsdH5SZZ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943</Words>
  <Characters>5192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 de prensa del estreno de Europa social 40 años construyendo derechos</vt:lpstr>
      <vt:lpstr/>
    </vt:vector>
  </TitlesOfParts>
  <Manager/>
  <Company/>
  <LinksUpToDate>false</LinksUpToDate>
  <CharactersWithSpaces>6123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prensa del estreno de Europa social 40 años construyendo derechos</dc:title>
  <dc:subject>Estreno del documental del CERMI Estatal</dc:subject>
  <dc:creator>CERMI Estatal</dc:creator>
  <cp:keywords>CERMI, Europa social, documental, Hablamos de Europa, Fondo Social Europeo</cp:keywords>
  <dc:description>generated by python-docx</dc:description>
  <cp:lastModifiedBy>Redacción Digital CERMI</cp:lastModifiedBy>
  <cp:revision>2</cp:revision>
  <dcterms:created xsi:type="dcterms:W3CDTF">2026-10-14T10:18:00Z</dcterms:created>
  <dcterms:modified xsi:type="dcterms:W3CDTF">2026-10-14T10:18:00Z</dcterms:modified>
  <cp:category/>
</cp:coreProperties>
</file>