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35CC" w14:textId="52EB2DD0" w:rsidR="00D675E4" w:rsidRPr="00A91C70" w:rsidRDefault="00F06BB9" w:rsidP="00A91C70">
      <w:pPr>
        <w:rPr>
          <w:lang w:val="es-ES"/>
        </w:rPr>
      </w:pPr>
      <w:r w:rsidRPr="004371CD">
        <w:rPr>
          <w:b/>
          <w:bCs/>
          <w:noProof/>
          <w:lang w:val="es-ES"/>
        </w:rPr>
        <w:drawing>
          <wp:anchor distT="0" distB="0" distL="114300" distR="114300" simplePos="0" relativeHeight="251658240" behindDoc="1" locked="0" layoutInCell="1" allowOverlap="1" wp14:anchorId="79C73921" wp14:editId="4B586C30">
            <wp:simplePos x="0" y="0"/>
            <wp:positionH relativeFrom="margin">
              <wp:align>center</wp:align>
            </wp:positionH>
            <wp:positionV relativeFrom="paragraph">
              <wp:posOffset>-682625</wp:posOffset>
            </wp:positionV>
            <wp:extent cx="2644140" cy="687203"/>
            <wp:effectExtent l="0" t="0" r="3810" b="0"/>
            <wp:wrapNone/>
            <wp:docPr id="14539130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4140" cy="687203"/>
                    </a:xfrm>
                    <a:prstGeom prst="rect">
                      <a:avLst/>
                    </a:prstGeom>
                    <a:noFill/>
                    <a:ln>
                      <a:noFill/>
                    </a:ln>
                  </pic:spPr>
                </pic:pic>
              </a:graphicData>
            </a:graphic>
          </wp:anchor>
        </w:drawing>
      </w:r>
    </w:p>
    <w:p w14:paraId="00616862" w14:textId="77777777" w:rsidR="00F66DF5" w:rsidRPr="00F66DF5" w:rsidRDefault="00F66DF5" w:rsidP="00F66DF5">
      <w:pPr>
        <w:pStyle w:val="Subttulo"/>
        <w:jc w:val="center"/>
        <w:rPr>
          <w:rFonts w:ascii="Arial" w:hAnsi="Arial" w:cs="Arial"/>
          <w:b/>
          <w:bCs/>
          <w:color w:val="auto"/>
          <w:sz w:val="20"/>
          <w:szCs w:val="20"/>
          <w:u w:val="single"/>
          <w:lang w:val="es-ES"/>
        </w:rPr>
      </w:pPr>
      <w:r w:rsidRPr="00F66DF5">
        <w:rPr>
          <w:rFonts w:ascii="Arial" w:hAnsi="Arial" w:cs="Arial"/>
          <w:b/>
          <w:bCs/>
          <w:color w:val="auto"/>
          <w:sz w:val="20"/>
          <w:szCs w:val="20"/>
          <w:u w:val="single"/>
          <w:lang w:val="es-ES"/>
        </w:rPr>
        <w:t>Nota de Prensa</w:t>
      </w:r>
    </w:p>
    <w:p w14:paraId="33EE1BF1" w14:textId="77777777" w:rsidR="00F66DF5" w:rsidRPr="00F66DF5" w:rsidRDefault="00F66DF5" w:rsidP="000E0765">
      <w:pPr>
        <w:pStyle w:val="Ttulo"/>
        <w:keepNext/>
        <w:jc w:val="both"/>
        <w:rPr>
          <w:rFonts w:ascii="Arial" w:hAnsi="Arial" w:cs="Arial"/>
          <w:b/>
          <w:bCs/>
          <w:sz w:val="36"/>
          <w:szCs w:val="36"/>
          <w:lang w:val="es-ES"/>
        </w:rPr>
      </w:pPr>
      <w:r w:rsidRPr="00F66DF5">
        <w:rPr>
          <w:rFonts w:ascii="Arial" w:hAnsi="Arial" w:cs="Arial"/>
          <w:b/>
          <w:bCs/>
          <w:sz w:val="36"/>
          <w:szCs w:val="36"/>
          <w:lang w:val="es-ES"/>
        </w:rPr>
        <w:t>Joaquín Almunia reclama que la política social europea conserve financiación suficiente y no quede diluida</w:t>
      </w:r>
    </w:p>
    <w:p w14:paraId="75FEA40C" w14:textId="1DDE995E" w:rsidR="00F66DF5" w:rsidRPr="003F5284" w:rsidRDefault="00F66DF5" w:rsidP="000E0765">
      <w:pPr>
        <w:pStyle w:val="Listaconvietas"/>
        <w:tabs>
          <w:tab w:val="num" w:pos="360"/>
        </w:tabs>
        <w:ind w:left="360" w:hanging="360"/>
        <w:jc w:val="both"/>
        <w:rPr>
          <w:rFonts w:cs="Arial"/>
          <w:color w:val="auto"/>
          <w:sz w:val="20"/>
          <w:szCs w:val="20"/>
          <w:lang w:val="es-ES"/>
        </w:rPr>
      </w:pPr>
      <w:r w:rsidRPr="003F5284">
        <w:rPr>
          <w:rFonts w:cs="Arial"/>
          <w:color w:val="auto"/>
          <w:sz w:val="20"/>
          <w:szCs w:val="20"/>
          <w:lang w:val="es-ES"/>
        </w:rPr>
        <w:t>El exvicepresidente de la Comisión Europea sostiene que el próximo presupuesto debe mantener «una especificidad» y garantías financieras para las políticas sociales.</w:t>
      </w:r>
      <w:r w:rsidR="003F5284" w:rsidRPr="003F5284">
        <w:rPr>
          <w:rFonts w:cs="Arial"/>
          <w:color w:val="auto"/>
          <w:sz w:val="20"/>
          <w:szCs w:val="20"/>
          <w:lang w:val="es-ES"/>
        </w:rPr>
        <w:t xml:space="preserve"> </w:t>
      </w:r>
      <w:r w:rsidRPr="003F5284">
        <w:rPr>
          <w:rFonts w:cs="Arial"/>
          <w:color w:val="auto"/>
          <w:sz w:val="20"/>
          <w:szCs w:val="20"/>
          <w:lang w:val="es-ES"/>
        </w:rPr>
        <w:t>Almunia afirma que España es hoy «radicalmente diferente</w:t>
      </w:r>
      <w:proofErr w:type="gramStart"/>
      <w:r w:rsidRPr="003F5284">
        <w:rPr>
          <w:rFonts w:cs="Arial"/>
          <w:color w:val="auto"/>
          <w:sz w:val="20"/>
          <w:szCs w:val="20"/>
          <w:lang w:val="es-ES"/>
        </w:rPr>
        <w:t xml:space="preserve">» </w:t>
      </w:r>
      <w:r w:rsidR="003F5284">
        <w:rPr>
          <w:rFonts w:cs="Arial"/>
          <w:color w:val="auto"/>
          <w:sz w:val="20"/>
          <w:szCs w:val="20"/>
          <w:lang w:val="es-ES"/>
        </w:rPr>
        <w:t>.</w:t>
      </w:r>
      <w:proofErr w:type="gramEnd"/>
      <w:r w:rsidR="003F5284">
        <w:rPr>
          <w:rFonts w:cs="Arial"/>
          <w:color w:val="auto"/>
          <w:sz w:val="20"/>
          <w:szCs w:val="20"/>
          <w:lang w:val="es-ES"/>
        </w:rPr>
        <w:t xml:space="preserve"> </w:t>
      </w:r>
    </w:p>
    <w:p w14:paraId="44E85134" w14:textId="4FA5DA4C" w:rsidR="00F66DF5" w:rsidRDefault="00F66DF5" w:rsidP="000E0765">
      <w:pPr>
        <w:pStyle w:val="Listaconvietas"/>
        <w:tabs>
          <w:tab w:val="num" w:pos="360"/>
        </w:tabs>
        <w:ind w:left="360" w:hanging="360"/>
        <w:jc w:val="both"/>
        <w:rPr>
          <w:rFonts w:cs="Arial"/>
          <w:b/>
          <w:bCs/>
          <w:color w:val="auto"/>
          <w:sz w:val="20"/>
          <w:szCs w:val="20"/>
          <w:lang w:val="es-ES"/>
        </w:rPr>
      </w:pPr>
      <w:r w:rsidRPr="0061472A">
        <w:rPr>
          <w:rFonts w:cs="Arial"/>
          <w:b/>
          <w:bCs/>
          <w:color w:val="auto"/>
          <w:sz w:val="20"/>
          <w:szCs w:val="20"/>
          <w:lang w:val="es-ES"/>
        </w:rPr>
        <w:t xml:space="preserve">La </w:t>
      </w:r>
      <w:proofErr w:type="spellStart"/>
      <w:r w:rsidRPr="0061472A">
        <w:rPr>
          <w:rFonts w:cs="Arial"/>
          <w:b/>
          <w:bCs/>
          <w:color w:val="auto"/>
          <w:sz w:val="20"/>
          <w:szCs w:val="20"/>
          <w:lang w:val="es-ES"/>
        </w:rPr>
        <w:t>videoentrevista</w:t>
      </w:r>
      <w:proofErr w:type="spellEnd"/>
      <w:r w:rsidRPr="0061472A">
        <w:rPr>
          <w:rFonts w:cs="Arial"/>
          <w:b/>
          <w:bCs/>
          <w:color w:val="auto"/>
          <w:sz w:val="20"/>
          <w:szCs w:val="20"/>
          <w:lang w:val="es-ES"/>
        </w:rPr>
        <w:t xml:space="preserve"> completa con Joaquín Almunia Amann puede verse en el </w:t>
      </w:r>
      <w:hyperlink r:id="rId8">
        <w:r w:rsidRPr="0061472A">
          <w:rPr>
            <w:rFonts w:cs="Arial"/>
            <w:b/>
            <w:bCs/>
            <w:color w:val="auto"/>
            <w:sz w:val="20"/>
            <w:szCs w:val="20"/>
            <w:u w:val="single"/>
            <w:lang w:val="es-ES"/>
          </w:rPr>
          <w:t>canal de YouTube del CERMI Estatal</w:t>
        </w:r>
      </w:hyperlink>
      <w:r w:rsidRPr="0061472A">
        <w:rPr>
          <w:rFonts w:cs="Arial"/>
          <w:b/>
          <w:bCs/>
          <w:color w:val="auto"/>
          <w:sz w:val="20"/>
          <w:szCs w:val="20"/>
          <w:lang w:val="es-ES"/>
        </w:rPr>
        <w:t>.</w:t>
      </w:r>
    </w:p>
    <w:p w14:paraId="2C8EE72D" w14:textId="5D80A28E" w:rsidR="0061472A" w:rsidRPr="0061472A" w:rsidRDefault="0061472A" w:rsidP="000E0765">
      <w:pPr>
        <w:pStyle w:val="Listaconvietas"/>
        <w:numPr>
          <w:ilvl w:val="0"/>
          <w:numId w:val="0"/>
        </w:numPr>
        <w:jc w:val="both"/>
        <w:rPr>
          <w:rFonts w:cs="Arial"/>
          <w:b/>
          <w:bCs/>
          <w:color w:val="auto"/>
          <w:sz w:val="20"/>
          <w:szCs w:val="20"/>
          <w:lang w:val="es-ES"/>
        </w:rPr>
      </w:pPr>
    </w:p>
    <w:p w14:paraId="1F8000A6"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El Comité Español de Representantes de Personas con Discapacidad (CERMI) publica este martes una nueva entrega de «El Sillón de la Europa Social», protagonizada por Joaquín Almunia Amann, exvicepresidente de la Comisión Europea, excomisario europeo y exministro.</w:t>
      </w:r>
    </w:p>
    <w:p w14:paraId="0CA5A218"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En la conversación, Almunia repasa la transformación experimentada por España desde su adhesión a las Comunidades Europeas, analiza las lecciones sociales de las últimas crisis y reclama que el Marco Financiero Plurianual 2028-2034 preserve una financiación reconocible y suficiente para las políticas sociales.</w:t>
      </w:r>
    </w:p>
    <w:p w14:paraId="494838A0"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Esta es la segunda de las siete conversaciones de la serie, iniciada con Enrique Barón Crespo, que reúne a protagonistas y voces expertas para recorrer cuarenta años de pertenencia de España a la Unión Europea y examinar el futuro de su dimensión social.</w:t>
      </w:r>
    </w:p>
    <w:p w14:paraId="72B13E05" w14:textId="77777777" w:rsidR="00F66DF5" w:rsidRPr="003F5284" w:rsidRDefault="00F66DF5" w:rsidP="000E0765">
      <w:pPr>
        <w:pStyle w:val="Ttulo2"/>
        <w:jc w:val="both"/>
        <w:rPr>
          <w:rFonts w:ascii="Arial" w:hAnsi="Arial" w:cs="Arial"/>
          <w:b/>
          <w:bCs/>
          <w:color w:val="auto"/>
          <w:sz w:val="20"/>
          <w:szCs w:val="20"/>
          <w:lang w:val="es-ES"/>
        </w:rPr>
      </w:pPr>
      <w:r w:rsidRPr="003F5284">
        <w:rPr>
          <w:rFonts w:ascii="Arial" w:hAnsi="Arial" w:cs="Arial"/>
          <w:b/>
          <w:bCs/>
          <w:color w:val="auto"/>
          <w:sz w:val="20"/>
          <w:szCs w:val="20"/>
          <w:lang w:val="es-ES"/>
        </w:rPr>
        <w:t>«ESPAÑA ES RADICALMENTE DIFERENTE»</w:t>
      </w:r>
    </w:p>
    <w:p w14:paraId="14A5353D"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Almunia realiza un balance claramente positivo de estas cuatro décadas. «España es radicalmente diferente, es una España más moderna, mejor, con menos diferencias sociales que las que teníamos entonces», afirma. Añade que la renta per cápita española se ha duplicado en términos constantes y que el país ha reducido de forma considerable la distancia con los Estados más avanzados de la Unión.</w:t>
      </w:r>
    </w:p>
    <w:p w14:paraId="20F81C89"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 xml:space="preserve">A su juicio, la experiencia española ha contribuido a reforzar el componente social del proyecto comunitario. «Hemos defendido siempre dentro de la Unión Europea una dimensión social más potente, </w:t>
      </w:r>
      <w:proofErr w:type="gramStart"/>
      <w:r w:rsidRPr="00F66DF5">
        <w:rPr>
          <w:rFonts w:ascii="Arial" w:hAnsi="Arial" w:cs="Arial"/>
          <w:sz w:val="20"/>
          <w:szCs w:val="20"/>
          <w:lang w:val="es-ES"/>
        </w:rPr>
        <w:t>más visible y más clara</w:t>
      </w:r>
      <w:proofErr w:type="gramEnd"/>
      <w:r w:rsidRPr="00F66DF5">
        <w:rPr>
          <w:rFonts w:ascii="Arial" w:hAnsi="Arial" w:cs="Arial"/>
          <w:sz w:val="20"/>
          <w:szCs w:val="20"/>
          <w:lang w:val="es-ES"/>
        </w:rPr>
        <w:t>», señala. Esa dimensión, advierte, no puede quedarse en una declaración retórica, sino que debe traducirse en políticas capaces de hacer efectivos los principios del Pilar Europeo de Derechos Sociales.</w:t>
      </w:r>
    </w:p>
    <w:p w14:paraId="696B7029" w14:textId="77777777" w:rsidR="00F66DF5" w:rsidRPr="003F5284" w:rsidRDefault="00F66DF5" w:rsidP="000E0765">
      <w:pPr>
        <w:pStyle w:val="Ttulo2"/>
        <w:jc w:val="both"/>
        <w:rPr>
          <w:rFonts w:ascii="Arial" w:hAnsi="Arial" w:cs="Arial"/>
          <w:b/>
          <w:bCs/>
          <w:color w:val="auto"/>
          <w:sz w:val="20"/>
          <w:szCs w:val="20"/>
          <w:lang w:val="es-ES"/>
        </w:rPr>
      </w:pPr>
      <w:r w:rsidRPr="003F5284">
        <w:rPr>
          <w:rFonts w:ascii="Arial" w:hAnsi="Arial" w:cs="Arial"/>
          <w:b/>
          <w:bCs/>
          <w:color w:val="auto"/>
          <w:sz w:val="20"/>
          <w:szCs w:val="20"/>
          <w:lang w:val="es-ES"/>
        </w:rPr>
        <w:t>GARANTÍAS PARA EL PRÓXIMO PRESUPUESTO</w:t>
      </w:r>
    </w:p>
    <w:p w14:paraId="59BABE2B"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Sobre la negociación del próximo marco presupuestario, Almunia recuerda que la decisión final corresponde al Consejo, por unanimidad, y requiere el respaldo del Parlamento Europeo. Aunque el proceso continúa abierto, considera imprescindible evitar que el componente social pierda visibilidad y capacidad de actuación.</w:t>
      </w:r>
    </w:p>
    <w:p w14:paraId="6C1E5953"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«Lo que sí sé es que debe haber una especificidad, unas garantías de que la política social, hoy en día financiada por el Fondo Social Europeo, no va a tener un papel más diluido», sostiene. El excomisario se muestra favorable a vincular los recursos europeos con reformas que mejoren la eficacia de las políticas nacionales, pero insiste en que esa flexibilidad no puede sustituir la seguridad financiera: «Me gustaría que las políticas sociales en Europa no se diluyan en cuanto a las garantías de que van a tener financiación suficiente».</w:t>
      </w:r>
    </w:p>
    <w:p w14:paraId="6355BFF5"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lastRenderedPageBreak/>
        <w:t>Almunia advierte asimismo de que la discusión no afecta únicamente al reparto interno de las partidas, sino al tamaño global del presupuesto europeo. Las nuevas necesidades en defensa, transición ecológica, cohesión y ampliación requieren, a su juicio, más capacidad común de financiación, incluidos recursos propios y fórmulas de deuda europea.</w:t>
      </w:r>
    </w:p>
    <w:p w14:paraId="6BB20F1D" w14:textId="77777777" w:rsidR="00F66DF5" w:rsidRPr="003F5284" w:rsidRDefault="00F66DF5" w:rsidP="000E0765">
      <w:pPr>
        <w:pStyle w:val="Ttulo2"/>
        <w:jc w:val="both"/>
        <w:rPr>
          <w:rFonts w:ascii="Arial" w:hAnsi="Arial" w:cs="Arial"/>
          <w:b/>
          <w:bCs/>
          <w:color w:val="auto"/>
          <w:sz w:val="20"/>
          <w:szCs w:val="20"/>
          <w:lang w:val="es-ES"/>
        </w:rPr>
      </w:pPr>
      <w:r w:rsidRPr="003F5284">
        <w:rPr>
          <w:rFonts w:ascii="Arial" w:hAnsi="Arial" w:cs="Arial"/>
          <w:b/>
          <w:bCs/>
          <w:color w:val="auto"/>
          <w:sz w:val="20"/>
          <w:szCs w:val="20"/>
          <w:lang w:val="es-ES"/>
        </w:rPr>
        <w:t>NO REPETIR LOS ERRORES DE LA AUSTERIDAD</w:t>
      </w:r>
    </w:p>
    <w:p w14:paraId="28FAC811"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La entrevista aborda también la respuesta europea a la crisis financiera. Almunia reconoce que la extensión de la austeridad y los recortes sociales como receta general fue un error que agravó desigualdades y deterioró los sistemas de protección. «Cuando hay una crisis hay que adoptar respuestas teniendo muchísimo cuidado en no matar el crecimiento y en distribuir bien los esfuerzos», subraya.</w:t>
      </w:r>
    </w:p>
    <w:p w14:paraId="37DA09D2"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En materia de competitividad, defiende que una economía europea más productiva necesita aprovechar el talento hoy excluido del empleo. La cohesión social, la reducción de las desigualdades y el apoyo a quienes encuentran más barreras no son elementos ajenos a la competitividad, sino condiciones para sostenerla.</w:t>
      </w:r>
    </w:p>
    <w:p w14:paraId="42B7885E"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La negociación europea ha introducido avances formales respecto a las primeras propuestas, entre ellos la continuidad de una regulación específica del Fondo Social Europeo. No obstante, siguen abiertas cuestiones decisivas como una dotación propia suficiente, las reservas de inclusión, los objetivos explícitos de discapacidad y la participación efectiva de la sociedad civil.</w:t>
      </w:r>
    </w:p>
    <w:p w14:paraId="15F75824" w14:textId="77777777" w:rsidR="00F66DF5" w:rsidRPr="003F5284" w:rsidRDefault="00F66DF5" w:rsidP="000E0765">
      <w:pPr>
        <w:pStyle w:val="Ttulo2"/>
        <w:jc w:val="both"/>
        <w:rPr>
          <w:rFonts w:ascii="Arial" w:hAnsi="Arial" w:cs="Arial"/>
          <w:b/>
          <w:bCs/>
          <w:color w:val="auto"/>
          <w:sz w:val="20"/>
          <w:szCs w:val="20"/>
          <w:lang w:val="es-ES"/>
        </w:rPr>
      </w:pPr>
      <w:r w:rsidRPr="003F5284">
        <w:rPr>
          <w:rFonts w:ascii="Arial" w:hAnsi="Arial" w:cs="Arial"/>
          <w:b/>
          <w:bCs/>
          <w:color w:val="auto"/>
          <w:sz w:val="20"/>
          <w:szCs w:val="20"/>
          <w:lang w:val="es-ES"/>
        </w:rPr>
        <w:t>UN PROYECTO PARA EXPLICAR Y DEFENDER LA EUROPA SOCIAL</w:t>
      </w:r>
    </w:p>
    <w:p w14:paraId="4CFD1653"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La serie forma parte del proyecto «40 años de España en la Unión Europea construyendo la Europa social: defensa del Pilar Social Europeo ante el nuevo Marco Financiero Plurianual», impulsado por el CERMI con el apoyo del Ministerio de Asuntos Exteriores, Unión Europea y Cooperación, a través de la iniciativa Hablamos de Europa.</w:t>
      </w:r>
    </w:p>
    <w:p w14:paraId="244E3F4D" w14:textId="77777777" w:rsidR="00F66DF5" w:rsidRPr="00F66DF5" w:rsidRDefault="00F66DF5" w:rsidP="000E0765">
      <w:pPr>
        <w:jc w:val="both"/>
        <w:rPr>
          <w:rFonts w:ascii="Arial" w:hAnsi="Arial" w:cs="Arial"/>
          <w:sz w:val="20"/>
          <w:szCs w:val="20"/>
          <w:lang w:val="es-ES"/>
        </w:rPr>
      </w:pPr>
      <w:r w:rsidRPr="00F66DF5">
        <w:rPr>
          <w:rFonts w:ascii="Arial" w:hAnsi="Arial" w:cs="Arial"/>
          <w:sz w:val="20"/>
          <w:szCs w:val="20"/>
          <w:lang w:val="es-ES"/>
        </w:rPr>
        <w:t>El proyecto reúne «El Sillón de la Europa Social», el «Semáforo del Pilar Social Europeo», un diálogo televisivo en Servimedia, el documental «Europa social: 40 años construyendo derechos» y un espacio web de acceso a los contenidos y materiales generados. Las acciones conectan la memoria de cuatro décadas de integración con el debate abierto sobre la financiación social europea para 2028-2034.</w:t>
      </w:r>
    </w:p>
    <w:p w14:paraId="68DF3BF2" w14:textId="77777777" w:rsidR="00F66DF5" w:rsidRPr="00F66DF5" w:rsidRDefault="00F66DF5" w:rsidP="000E0765">
      <w:pPr>
        <w:spacing w:before="200"/>
        <w:jc w:val="both"/>
        <w:rPr>
          <w:rFonts w:ascii="Arial" w:hAnsi="Arial" w:cs="Arial"/>
          <w:sz w:val="20"/>
          <w:szCs w:val="20"/>
          <w:lang w:val="es-ES"/>
        </w:rPr>
      </w:pPr>
      <w:r w:rsidRPr="00F66DF5">
        <w:rPr>
          <w:rFonts w:ascii="Arial" w:hAnsi="Arial" w:cs="Arial"/>
          <w:b/>
          <w:sz w:val="20"/>
          <w:szCs w:val="20"/>
          <w:lang w:val="es-ES"/>
        </w:rPr>
        <w:t>#HablamosDeEuropa #PilarSocialEuropeo #40AñosEuropaInclusión</w:t>
      </w:r>
    </w:p>
    <w:p w14:paraId="570B9DFC" w14:textId="77777777" w:rsidR="00F66DF5" w:rsidRPr="00F66DF5" w:rsidRDefault="00F66DF5" w:rsidP="000E0765">
      <w:pPr>
        <w:jc w:val="both"/>
        <w:rPr>
          <w:rFonts w:ascii="Arial" w:hAnsi="Arial" w:cs="Arial"/>
          <w:sz w:val="20"/>
          <w:szCs w:val="20"/>
          <w:lang w:val="es-ES"/>
        </w:rPr>
      </w:pPr>
      <w:r w:rsidRPr="00F66DF5">
        <w:rPr>
          <w:rFonts w:ascii="Arial" w:hAnsi="Arial" w:cs="Arial"/>
          <w:b/>
          <w:sz w:val="20"/>
          <w:szCs w:val="20"/>
          <w:lang w:val="es-ES"/>
        </w:rPr>
        <w:t>6 de octubre de 2026</w:t>
      </w:r>
    </w:p>
    <w:p w14:paraId="73B8BC0A" w14:textId="77777777" w:rsidR="00F66DF5" w:rsidRPr="00F66DF5" w:rsidRDefault="00F66DF5" w:rsidP="003F5284">
      <w:pPr>
        <w:jc w:val="center"/>
        <w:rPr>
          <w:rFonts w:ascii="Arial" w:hAnsi="Arial" w:cs="Arial"/>
          <w:sz w:val="20"/>
          <w:szCs w:val="20"/>
          <w:lang w:val="es-ES"/>
        </w:rPr>
      </w:pPr>
      <w:r w:rsidRPr="00F66DF5">
        <w:rPr>
          <w:rFonts w:ascii="Arial" w:hAnsi="Arial" w:cs="Arial"/>
          <w:sz w:val="20"/>
          <w:szCs w:val="20"/>
          <w:lang w:val="es-ES"/>
        </w:rPr>
        <w:t>CERMI</w:t>
      </w:r>
    </w:p>
    <w:p w14:paraId="1112B044" w14:textId="77777777" w:rsidR="00F66DF5" w:rsidRPr="00F66DF5" w:rsidRDefault="00F66DF5" w:rsidP="003F5284">
      <w:pPr>
        <w:jc w:val="center"/>
        <w:rPr>
          <w:rFonts w:ascii="Arial" w:hAnsi="Arial" w:cs="Arial"/>
          <w:sz w:val="20"/>
          <w:szCs w:val="20"/>
          <w:lang w:val="es-ES"/>
        </w:rPr>
      </w:pPr>
      <w:hyperlink r:id="rId9">
        <w:r w:rsidRPr="00F66DF5">
          <w:rPr>
            <w:rFonts w:ascii="Arial" w:hAnsi="Arial" w:cs="Arial"/>
            <w:sz w:val="20"/>
            <w:szCs w:val="20"/>
            <w:u w:val="single"/>
            <w:lang w:val="es-ES"/>
          </w:rPr>
          <w:t>www.cermi.es</w:t>
        </w:r>
      </w:hyperlink>
    </w:p>
    <w:p w14:paraId="68B034ED" w14:textId="16DE41AB" w:rsidR="00A91C70" w:rsidRPr="003F5284" w:rsidRDefault="00F66DF5">
      <w:pPr>
        <w:rPr>
          <w:lang w:val="es-ES"/>
        </w:rPr>
      </w:pPr>
      <w:r w:rsidRPr="00A015F3">
        <w:rPr>
          <w:lang w:val="es-ES"/>
        </w:rPr>
        <w:br w:type="page"/>
      </w:r>
    </w:p>
    <w:sectPr w:rsidR="00A91C70" w:rsidRPr="003F5284">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1B5F" w14:textId="77777777" w:rsidR="005758EF" w:rsidRDefault="005758EF" w:rsidP="00A91C70">
      <w:pPr>
        <w:spacing w:after="0" w:line="240" w:lineRule="auto"/>
      </w:pPr>
      <w:r>
        <w:separator/>
      </w:r>
    </w:p>
  </w:endnote>
  <w:endnote w:type="continuationSeparator" w:id="0">
    <w:p w14:paraId="510A2F6B" w14:textId="77777777" w:rsidR="005758EF" w:rsidRDefault="005758EF" w:rsidP="00A91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F1D0" w14:textId="3213CFE5" w:rsidR="00A91C70" w:rsidRDefault="00A91C70">
    <w:pPr>
      <w:pStyle w:val="Piedepgina"/>
    </w:pPr>
    <w:r w:rsidRPr="00A91C70">
      <w:rPr>
        <w:noProof/>
      </w:rPr>
      <w:drawing>
        <wp:inline distT="0" distB="0" distL="0" distR="0" wp14:anchorId="3D1B5CD5" wp14:editId="71537CD6">
          <wp:extent cx="5400040" cy="1026160"/>
          <wp:effectExtent l="0" t="0" r="0" b="2540"/>
          <wp:docPr id="530438887" name="Imagen 1" descr="Ministerio de Asuntos Exteriores, Unión Europea y Cooperación, a través de la iniciativa Hablamo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38887" name="Imagen 1" descr="Ministerio de Asuntos Exteriores, Unión Europea y Cooperación, a través de la iniciativa Hablamos de Europa."/>
                  <pic:cNvPicPr/>
                </pic:nvPicPr>
                <pic:blipFill>
                  <a:blip r:embed="rId1"/>
                  <a:stretch>
                    <a:fillRect/>
                  </a:stretch>
                </pic:blipFill>
                <pic:spPr>
                  <a:xfrm>
                    <a:off x="0" y="0"/>
                    <a:ext cx="5400040" cy="1026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0C91A" w14:textId="77777777" w:rsidR="005758EF" w:rsidRDefault="005758EF" w:rsidP="00A91C70">
      <w:pPr>
        <w:spacing w:after="0" w:line="240" w:lineRule="auto"/>
      </w:pPr>
      <w:r>
        <w:separator/>
      </w:r>
    </w:p>
  </w:footnote>
  <w:footnote w:type="continuationSeparator" w:id="0">
    <w:p w14:paraId="51ED07B9" w14:textId="77777777" w:rsidR="005758EF" w:rsidRDefault="005758EF" w:rsidP="00A91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CE146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5F4077D5"/>
    <w:multiLevelType w:val="multilevel"/>
    <w:tmpl w:val="8D58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77D7F"/>
    <w:multiLevelType w:val="multilevel"/>
    <w:tmpl w:val="8D58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859458">
    <w:abstractNumId w:val="2"/>
  </w:num>
  <w:num w:numId="2" w16cid:durableId="1985809774">
    <w:abstractNumId w:val="1"/>
  </w:num>
  <w:num w:numId="3" w16cid:durableId="714158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1CD"/>
    <w:rsid w:val="000673E9"/>
    <w:rsid w:val="000E0765"/>
    <w:rsid w:val="002D489C"/>
    <w:rsid w:val="003071FC"/>
    <w:rsid w:val="003A6CEC"/>
    <w:rsid w:val="003C09B1"/>
    <w:rsid w:val="003F5284"/>
    <w:rsid w:val="004371CD"/>
    <w:rsid w:val="005758EF"/>
    <w:rsid w:val="0061472A"/>
    <w:rsid w:val="00741B13"/>
    <w:rsid w:val="0075084A"/>
    <w:rsid w:val="00755907"/>
    <w:rsid w:val="0081079A"/>
    <w:rsid w:val="008B5D27"/>
    <w:rsid w:val="008E0F52"/>
    <w:rsid w:val="00900B15"/>
    <w:rsid w:val="009128AB"/>
    <w:rsid w:val="00A115B1"/>
    <w:rsid w:val="00A91C70"/>
    <w:rsid w:val="00AD0CB6"/>
    <w:rsid w:val="00AD7658"/>
    <w:rsid w:val="00BD1E4D"/>
    <w:rsid w:val="00C4704F"/>
    <w:rsid w:val="00CC5B1A"/>
    <w:rsid w:val="00D675E4"/>
    <w:rsid w:val="00DE51E4"/>
    <w:rsid w:val="00EA5037"/>
    <w:rsid w:val="00F06BB9"/>
    <w:rsid w:val="00F66D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380DB"/>
  <w15:chartTrackingRefBased/>
  <w15:docId w15:val="{FCCBF388-0D3E-4E87-9DBB-2624CCC5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437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37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71C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71C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71C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71C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71C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71C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71C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71CD"/>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rsid w:val="004371CD"/>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4371CD"/>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4371CD"/>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4371CD"/>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4371CD"/>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4371CD"/>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4371CD"/>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4371CD"/>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4371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71CD"/>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4371C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71CD"/>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4371CD"/>
    <w:pPr>
      <w:spacing w:before="160"/>
      <w:jc w:val="center"/>
    </w:pPr>
    <w:rPr>
      <w:i/>
      <w:iCs/>
      <w:color w:val="404040" w:themeColor="text1" w:themeTint="BF"/>
    </w:rPr>
  </w:style>
  <w:style w:type="character" w:customStyle="1" w:styleId="CitaCar">
    <w:name w:val="Cita Car"/>
    <w:basedOn w:val="Fuentedeprrafopredeter"/>
    <w:link w:val="Cita"/>
    <w:uiPriority w:val="29"/>
    <w:rsid w:val="004371CD"/>
    <w:rPr>
      <w:i/>
      <w:iCs/>
      <w:color w:val="404040" w:themeColor="text1" w:themeTint="BF"/>
      <w:lang w:val="es-ES_tradnl"/>
    </w:rPr>
  </w:style>
  <w:style w:type="paragraph" w:styleId="Prrafodelista">
    <w:name w:val="List Paragraph"/>
    <w:basedOn w:val="Normal"/>
    <w:uiPriority w:val="34"/>
    <w:qFormat/>
    <w:rsid w:val="004371CD"/>
    <w:pPr>
      <w:ind w:left="720"/>
      <w:contextualSpacing/>
    </w:pPr>
  </w:style>
  <w:style w:type="character" w:styleId="nfasisintenso">
    <w:name w:val="Intense Emphasis"/>
    <w:basedOn w:val="Fuentedeprrafopredeter"/>
    <w:uiPriority w:val="21"/>
    <w:qFormat/>
    <w:rsid w:val="004371CD"/>
    <w:rPr>
      <w:i/>
      <w:iCs/>
      <w:color w:val="0F4761" w:themeColor="accent1" w:themeShade="BF"/>
    </w:rPr>
  </w:style>
  <w:style w:type="paragraph" w:styleId="Citadestacada">
    <w:name w:val="Intense Quote"/>
    <w:basedOn w:val="Normal"/>
    <w:next w:val="Normal"/>
    <w:link w:val="CitadestacadaCar"/>
    <w:uiPriority w:val="30"/>
    <w:qFormat/>
    <w:rsid w:val="00437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71CD"/>
    <w:rPr>
      <w:i/>
      <w:iCs/>
      <w:color w:val="0F4761" w:themeColor="accent1" w:themeShade="BF"/>
      <w:lang w:val="es-ES_tradnl"/>
    </w:rPr>
  </w:style>
  <w:style w:type="character" w:styleId="Referenciaintensa">
    <w:name w:val="Intense Reference"/>
    <w:basedOn w:val="Fuentedeprrafopredeter"/>
    <w:uiPriority w:val="32"/>
    <w:qFormat/>
    <w:rsid w:val="004371CD"/>
    <w:rPr>
      <w:b/>
      <w:bCs/>
      <w:smallCaps/>
      <w:color w:val="0F4761" w:themeColor="accent1" w:themeShade="BF"/>
      <w:spacing w:val="5"/>
    </w:rPr>
  </w:style>
  <w:style w:type="character" w:styleId="Hipervnculo">
    <w:name w:val="Hyperlink"/>
    <w:basedOn w:val="Fuentedeprrafopredeter"/>
    <w:uiPriority w:val="99"/>
    <w:unhideWhenUsed/>
    <w:rsid w:val="004371CD"/>
    <w:rPr>
      <w:color w:val="467886" w:themeColor="hyperlink"/>
      <w:u w:val="single"/>
    </w:rPr>
  </w:style>
  <w:style w:type="character" w:styleId="Mencinsinresolver">
    <w:name w:val="Unresolved Mention"/>
    <w:basedOn w:val="Fuentedeprrafopredeter"/>
    <w:uiPriority w:val="99"/>
    <w:semiHidden/>
    <w:unhideWhenUsed/>
    <w:rsid w:val="004371CD"/>
    <w:rPr>
      <w:color w:val="605E5C"/>
      <w:shd w:val="clear" w:color="auto" w:fill="E1DFDD"/>
    </w:rPr>
  </w:style>
  <w:style w:type="paragraph" w:styleId="Encabezado">
    <w:name w:val="header"/>
    <w:basedOn w:val="Normal"/>
    <w:link w:val="EncabezadoCar"/>
    <w:uiPriority w:val="99"/>
    <w:unhideWhenUsed/>
    <w:rsid w:val="00A91C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91C70"/>
    <w:rPr>
      <w:lang w:val="es-ES_tradnl"/>
    </w:rPr>
  </w:style>
  <w:style w:type="paragraph" w:styleId="Piedepgina">
    <w:name w:val="footer"/>
    <w:basedOn w:val="Normal"/>
    <w:link w:val="PiedepginaCar"/>
    <w:uiPriority w:val="99"/>
    <w:unhideWhenUsed/>
    <w:rsid w:val="00A91C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91C70"/>
    <w:rPr>
      <w:lang w:val="es-ES_tradnl"/>
    </w:rPr>
  </w:style>
  <w:style w:type="paragraph" w:styleId="Listaconvietas">
    <w:name w:val="List Bullet"/>
    <w:basedOn w:val="Normal"/>
    <w:uiPriority w:val="99"/>
    <w:unhideWhenUsed/>
    <w:rsid w:val="00F66DF5"/>
    <w:pPr>
      <w:numPr>
        <w:numId w:val="3"/>
      </w:numPr>
      <w:tabs>
        <w:tab w:val="clear" w:pos="360"/>
      </w:tabs>
      <w:spacing w:after="140" w:line="269" w:lineRule="auto"/>
      <w:ind w:left="0" w:firstLine="0"/>
      <w:contextualSpacing/>
    </w:pPr>
    <w:rPr>
      <w:rFonts w:ascii="Arial" w:eastAsiaTheme="minorEastAsia" w:hAnsi="Arial"/>
      <w:color w:val="000000"/>
      <w:kern w:val="0"/>
      <w:sz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wORrdpr0D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ermi.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844</Words>
  <Characters>4643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Redacción Digital CERMI</dc:creator>
  <cp:keywords/>
  <dc:description/>
  <cp:lastModifiedBy>Redacción Digital CERMI</cp:lastModifiedBy>
  <cp:revision>6</cp:revision>
  <dcterms:created xsi:type="dcterms:W3CDTF">2026-09-28T10:56:00Z</dcterms:created>
  <dcterms:modified xsi:type="dcterms:W3CDTF">2026-10-06T06:55:00Z</dcterms:modified>
</cp:coreProperties>
</file>